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8E42D" w14:textId="77777777" w:rsidR="00DC1FE9" w:rsidRDefault="00196ED2" w:rsidP="00196ED2">
      <w:pPr>
        <w:pStyle w:val="isselectedend"/>
        <w:rPr>
          <w:sz w:val="28"/>
          <w:szCs w:val="28"/>
        </w:rPr>
      </w:pPr>
      <w:r w:rsidRPr="00DC1FE9">
        <w:rPr>
          <w:b/>
          <w:bCs/>
          <w:sz w:val="28"/>
          <w:szCs w:val="28"/>
          <w:u w:val="single"/>
        </w:rPr>
        <w:t>Vincitore della XV</w:t>
      </w:r>
      <w:r w:rsidRPr="00DC1FE9">
        <w:rPr>
          <w:b/>
          <w:bCs/>
          <w:sz w:val="28"/>
          <w:szCs w:val="28"/>
          <w:u w:val="single"/>
        </w:rPr>
        <w:t>II</w:t>
      </w:r>
      <w:r w:rsidRPr="00DC1FE9">
        <w:rPr>
          <w:b/>
          <w:bCs/>
          <w:sz w:val="28"/>
          <w:szCs w:val="28"/>
          <w:u w:val="single"/>
        </w:rPr>
        <w:t xml:space="preserve"> edizione</w:t>
      </w:r>
      <w:r w:rsidRPr="00DC1FE9">
        <w:rPr>
          <w:sz w:val="28"/>
          <w:szCs w:val="28"/>
          <w:u w:val="single"/>
        </w:rPr>
        <w:t xml:space="preserve"> dell’Aquileia Film Festival, la rassegna di cinema e</w:t>
      </w:r>
      <w:r w:rsidRPr="00063F73">
        <w:rPr>
          <w:sz w:val="28"/>
          <w:szCs w:val="28"/>
        </w:rPr>
        <w:t xml:space="preserve"> archeologia, organizzata dalla Fondazione Aquileia con Archeologia Viva e Firenze </w:t>
      </w:r>
      <w:proofErr w:type="spellStart"/>
      <w:r w:rsidRPr="00063F73">
        <w:rPr>
          <w:sz w:val="28"/>
          <w:szCs w:val="28"/>
        </w:rPr>
        <w:t>Archeofilm</w:t>
      </w:r>
      <w:proofErr w:type="spellEnd"/>
      <w:r w:rsidRPr="00063F73">
        <w:rPr>
          <w:sz w:val="28"/>
          <w:szCs w:val="28"/>
        </w:rPr>
        <w:t xml:space="preserve"> è</w:t>
      </w:r>
      <w:r w:rsidRPr="00DC1FE9">
        <w:rPr>
          <w:sz w:val="28"/>
          <w:szCs w:val="28"/>
        </w:rPr>
        <w:t xml:space="preserve"> </w:t>
      </w:r>
      <w:r w:rsidRPr="00DC1FE9">
        <w:rPr>
          <w:sz w:val="28"/>
          <w:szCs w:val="28"/>
        </w:rPr>
        <w:t>il</w:t>
      </w:r>
      <w:r w:rsidR="00063F73" w:rsidRPr="00063F73">
        <w:rPr>
          <w:b/>
          <w:bCs/>
          <w:sz w:val="28"/>
          <w:szCs w:val="28"/>
        </w:rPr>
        <w:t xml:space="preserve"> </w:t>
      </w:r>
      <w:r w:rsidRPr="00063F73">
        <w:rPr>
          <w:sz w:val="28"/>
          <w:szCs w:val="28"/>
        </w:rPr>
        <w:t xml:space="preserve">documentario </w:t>
      </w:r>
      <w:r w:rsidRPr="00063F73">
        <w:rPr>
          <w:b/>
          <w:bCs/>
          <w:i/>
          <w:iCs/>
          <w:sz w:val="28"/>
          <w:szCs w:val="28"/>
        </w:rPr>
        <w:t>L’Impero Assiro – La storia rivelata</w:t>
      </w:r>
      <w:r w:rsidRPr="00063F73">
        <w:rPr>
          <w:b/>
          <w:bCs/>
          <w:sz w:val="28"/>
          <w:szCs w:val="28"/>
        </w:rPr>
        <w:t> </w:t>
      </w:r>
      <w:r w:rsidRPr="00063F73">
        <w:rPr>
          <w:sz w:val="28"/>
          <w:szCs w:val="28"/>
        </w:rPr>
        <w:t>di Luis Miranda</w:t>
      </w:r>
      <w:r w:rsidRPr="00063F73">
        <w:rPr>
          <w:sz w:val="28"/>
          <w:szCs w:val="28"/>
        </w:rPr>
        <w:t xml:space="preserve">, una co-produzione </w:t>
      </w:r>
      <w:proofErr w:type="spellStart"/>
      <w:r w:rsidRPr="00063F73">
        <w:rPr>
          <w:sz w:val="28"/>
          <w:szCs w:val="28"/>
        </w:rPr>
        <w:t>BambooDoc</w:t>
      </w:r>
      <w:proofErr w:type="spellEnd"/>
      <w:r w:rsidRPr="00063F73">
        <w:rPr>
          <w:sz w:val="28"/>
          <w:szCs w:val="28"/>
        </w:rPr>
        <w:t xml:space="preserve"> e France </w:t>
      </w:r>
      <w:proofErr w:type="spellStart"/>
      <w:r w:rsidRPr="00063F73">
        <w:rPr>
          <w:sz w:val="28"/>
          <w:szCs w:val="28"/>
        </w:rPr>
        <w:t>Televisions</w:t>
      </w:r>
      <w:proofErr w:type="spellEnd"/>
      <w:r w:rsidRPr="00063F73">
        <w:rPr>
          <w:sz w:val="28"/>
          <w:szCs w:val="28"/>
        </w:rPr>
        <w:t>,</w:t>
      </w:r>
      <w:r w:rsidRPr="00063F73">
        <w:rPr>
          <w:sz w:val="28"/>
          <w:szCs w:val="28"/>
        </w:rPr>
        <w:t xml:space="preserve"> che racconta il lavoro di una missione archeologica tedesca e l’articolato programma di ricerca di un’eccellenza del nostro territorio, la missione italiana dell’Università degli Studi di Udine diretta dal professore Daniele Morandi Bonacossi impegnata da anni nella salvaguardia di un patrimonio minacciato dai conflitti in Kurdistan iracheno</w:t>
      </w:r>
      <w:r w:rsidR="00DC1FE9">
        <w:rPr>
          <w:sz w:val="28"/>
          <w:szCs w:val="28"/>
        </w:rPr>
        <w:t>.</w:t>
      </w:r>
    </w:p>
    <w:p w14:paraId="36247241" w14:textId="03C240B4" w:rsidR="00196ED2" w:rsidRPr="00DC1FE9" w:rsidRDefault="00DC1FE9" w:rsidP="00196ED2">
      <w:pPr>
        <w:pStyle w:val="isselectedend"/>
        <w:rPr>
          <w:sz w:val="28"/>
          <w:szCs w:val="28"/>
        </w:rPr>
      </w:pPr>
      <w:r>
        <w:rPr>
          <w:sz w:val="28"/>
          <w:szCs w:val="28"/>
        </w:rPr>
        <w:t>La</w:t>
      </w:r>
      <w:r w:rsidR="00196ED2" w:rsidRPr="00063F73">
        <w:rPr>
          <w:sz w:val="28"/>
          <w:szCs w:val="28"/>
        </w:rPr>
        <w:t xml:space="preserve"> serata di ieri </w:t>
      </w:r>
      <w:r w:rsidRPr="00DC1FE9">
        <w:rPr>
          <w:sz w:val="28"/>
          <w:szCs w:val="28"/>
        </w:rPr>
        <w:t xml:space="preserve">seguita da una piazza gremita con tutti i posti a sedere esauriti, ha confermato il grande successo dell'Aquileia Film Festival, che </w:t>
      </w:r>
      <w:r w:rsidRPr="00DC1FE9">
        <w:rPr>
          <w:b/>
          <w:bCs/>
          <w:sz w:val="28"/>
          <w:szCs w:val="28"/>
        </w:rPr>
        <w:t>nelle prime quattro serate ha raggiunto anche oltre 6.000 spettatori in streaming dall'Italia, da numerosi Paesi europei, dagli Stati Uniti, dal Canada e dall'Argentina</w:t>
      </w:r>
      <w:r w:rsidRPr="00DC1FE9">
        <w:rPr>
          <w:sz w:val="28"/>
          <w:szCs w:val="28"/>
        </w:rPr>
        <w:t>.</w:t>
      </w:r>
      <w:r>
        <w:rPr>
          <w:sz w:val="28"/>
          <w:szCs w:val="28"/>
        </w:rPr>
        <w:t xml:space="preserve"> A fine </w:t>
      </w:r>
      <w:r w:rsidRPr="00DC1FE9">
        <w:rPr>
          <w:sz w:val="28"/>
          <w:szCs w:val="28"/>
        </w:rPr>
        <w:t xml:space="preserve">serata è stato consegnato il </w:t>
      </w:r>
      <w:r w:rsidRPr="00DC1FE9">
        <w:rPr>
          <w:b/>
          <w:bCs/>
          <w:sz w:val="28"/>
          <w:szCs w:val="28"/>
        </w:rPr>
        <w:t>Premio Aquileia,</w:t>
      </w:r>
      <w:r w:rsidRPr="00DC1FE9">
        <w:rPr>
          <w:sz w:val="28"/>
          <w:szCs w:val="28"/>
        </w:rPr>
        <w:t xml:space="preserve"> che quest'anno si presenta in una veste rinnovata e raddoppia il suo valore simbolico: accanto al tradizionale mosaico realizzato dagli allievi della Scuola Mosaicisti del Friuli, è stata conferita anche una preziosa </w:t>
      </w:r>
      <w:r w:rsidRPr="00DC1FE9">
        <w:rPr>
          <w:b/>
          <w:bCs/>
          <w:sz w:val="28"/>
          <w:szCs w:val="28"/>
        </w:rPr>
        <w:t>coppetta in vetro, realizzata dai maestri muranesi nel forno vetrario di Aquileia,</w:t>
      </w:r>
      <w:r w:rsidRPr="00DC1FE9">
        <w:rPr>
          <w:sz w:val="28"/>
          <w:szCs w:val="28"/>
        </w:rPr>
        <w:t xml:space="preserve"> l'unico forno in Italia ricostruito secondo le tecniche romane e alimentato a legna.</w:t>
      </w:r>
    </w:p>
    <w:p w14:paraId="62A8740D" w14:textId="2C8A16FD" w:rsidR="00196ED2" w:rsidRPr="00063F73" w:rsidRDefault="00196ED2" w:rsidP="00196ED2">
      <w:pPr>
        <w:pStyle w:val="isselectedend"/>
        <w:rPr>
          <w:sz w:val="28"/>
          <w:szCs w:val="28"/>
        </w:rPr>
      </w:pPr>
      <w:r w:rsidRPr="00063F73">
        <w:rPr>
          <w:b/>
          <w:bCs/>
          <w:sz w:val="28"/>
          <w:szCs w:val="28"/>
        </w:rPr>
        <w:t xml:space="preserve">Ospiti della serata di ieri </w:t>
      </w:r>
      <w:r w:rsidRPr="00063F73">
        <w:rPr>
          <w:b/>
          <w:bCs/>
          <w:sz w:val="28"/>
          <w:szCs w:val="28"/>
        </w:rPr>
        <w:t xml:space="preserve">Daniele Morandi Bonacossi e Francesca Simi, </w:t>
      </w:r>
      <w:r w:rsidRPr="00063F73">
        <w:rPr>
          <w:sz w:val="28"/>
          <w:szCs w:val="28"/>
        </w:rPr>
        <w:t>rispettivamente professore ordinario di Archeologia e Storia dell'Arte del Vicino Oriente e ricercatrice in Archeologia del Vicino Oriente all’Università di Udine. In qualità di direttore e vicedirettrice, guidano la missione archeologica italiana </w:t>
      </w:r>
      <w:r w:rsidRPr="00063F73">
        <w:rPr>
          <w:i/>
          <w:iCs/>
          <w:sz w:val="28"/>
          <w:szCs w:val="28"/>
        </w:rPr>
        <w:t xml:space="preserve">Land of </w:t>
      </w:r>
      <w:proofErr w:type="spellStart"/>
      <w:r w:rsidRPr="00063F73">
        <w:rPr>
          <w:i/>
          <w:iCs/>
          <w:sz w:val="28"/>
          <w:szCs w:val="28"/>
        </w:rPr>
        <w:t>Niniveh</w:t>
      </w:r>
      <w:proofErr w:type="spellEnd"/>
      <w:r w:rsidRPr="00063F73">
        <w:rPr>
          <w:i/>
          <w:iCs/>
          <w:sz w:val="28"/>
          <w:szCs w:val="28"/>
        </w:rPr>
        <w:t xml:space="preserve"> </w:t>
      </w:r>
      <w:proofErr w:type="spellStart"/>
      <w:r w:rsidRPr="00063F73">
        <w:rPr>
          <w:i/>
          <w:iCs/>
          <w:sz w:val="28"/>
          <w:szCs w:val="28"/>
        </w:rPr>
        <w:t>Archaeological</w:t>
      </w:r>
      <w:proofErr w:type="spellEnd"/>
      <w:r w:rsidRPr="00063F73">
        <w:rPr>
          <w:i/>
          <w:iCs/>
          <w:sz w:val="28"/>
          <w:szCs w:val="28"/>
        </w:rPr>
        <w:t xml:space="preserve"> Project</w:t>
      </w:r>
      <w:r w:rsidRPr="00063F73">
        <w:rPr>
          <w:sz w:val="28"/>
          <w:szCs w:val="28"/>
        </w:rPr>
        <w:t> in Kurdistan iracheno</w:t>
      </w:r>
      <w:r w:rsidRPr="00063F73">
        <w:rPr>
          <w:sz w:val="28"/>
          <w:szCs w:val="28"/>
        </w:rPr>
        <w:t xml:space="preserve"> che ci hanno affascinato con il racconto </w:t>
      </w:r>
      <w:r w:rsidR="00063F73" w:rsidRPr="00063F73">
        <w:rPr>
          <w:sz w:val="28"/>
          <w:szCs w:val="28"/>
        </w:rPr>
        <w:t>delle loro ricerche “a</w:t>
      </w:r>
      <w:r w:rsidR="00063F73" w:rsidRPr="00063F73">
        <w:rPr>
          <w:sz w:val="28"/>
          <w:szCs w:val="28"/>
        </w:rPr>
        <w:t>bbiamo terminato lo studio del grande sistema di irrigazione che gli Assiri, con il loro re Sennacherib, avevano creato tra la fine dell’VIII a.C. e gli inizi del VII a. C</w:t>
      </w:r>
      <w:r w:rsidR="00063F73" w:rsidRPr="00063F73">
        <w:rPr>
          <w:sz w:val="28"/>
          <w:szCs w:val="28"/>
        </w:rPr>
        <w:t xml:space="preserve"> e</w:t>
      </w:r>
      <w:r w:rsidR="00063F73" w:rsidRPr="00063F73">
        <w:rPr>
          <w:sz w:val="28"/>
          <w:szCs w:val="28"/>
        </w:rPr>
        <w:t xml:space="preserve">  abbiamo quasi portato a compimento questo grande parco archeologico diffuso sui quattro siti, che verrà inaugurato alla fine di ottobre. Un grande progetto iniziato nel 2013, che vuole portare alla visione e alla protezione dei grandi bassorilievi scolpiti nella roccia, nei punti in cui l’acqua veniva deviata dai fiumi e incanalata nei canali per volontà di Sennacherib</w:t>
      </w:r>
      <w:r w:rsidR="00063F73" w:rsidRPr="00063F73">
        <w:rPr>
          <w:sz w:val="28"/>
          <w:szCs w:val="28"/>
        </w:rPr>
        <w:t>”</w:t>
      </w:r>
      <w:r w:rsidR="00063F73" w:rsidRPr="00063F73">
        <w:rPr>
          <w:sz w:val="28"/>
          <w:szCs w:val="28"/>
        </w:rPr>
        <w:t>.</w:t>
      </w:r>
    </w:p>
    <w:p w14:paraId="33A9CA48" w14:textId="3A7C4974" w:rsidR="00196ED2" w:rsidRPr="00063F73" w:rsidRDefault="00196ED2" w:rsidP="00196ED2">
      <w:pPr>
        <w:pStyle w:val="isselectedend"/>
        <w:rPr>
          <w:sz w:val="28"/>
          <w:szCs w:val="28"/>
        </w:rPr>
      </w:pPr>
      <w:r w:rsidRPr="00063F73">
        <w:rPr>
          <w:sz w:val="28"/>
          <w:szCs w:val="28"/>
        </w:rPr>
        <w:t xml:space="preserve">IL Festival prosegue stasera </w:t>
      </w:r>
      <w:r w:rsidRPr="00063F73">
        <w:rPr>
          <w:b/>
          <w:bCs/>
          <w:sz w:val="28"/>
          <w:szCs w:val="28"/>
        </w:rPr>
        <w:t xml:space="preserve">sabato 1 e </w:t>
      </w:r>
      <w:r w:rsidRPr="00063F73">
        <w:rPr>
          <w:b/>
          <w:bCs/>
          <w:sz w:val="28"/>
          <w:szCs w:val="28"/>
        </w:rPr>
        <w:t xml:space="preserve">domani </w:t>
      </w:r>
      <w:r w:rsidRPr="00063F73">
        <w:rPr>
          <w:b/>
          <w:bCs/>
          <w:sz w:val="28"/>
          <w:szCs w:val="28"/>
        </w:rPr>
        <w:t>domenica 2 agosto</w:t>
      </w:r>
      <w:r w:rsidRPr="00063F73">
        <w:rPr>
          <w:b/>
          <w:bCs/>
          <w:sz w:val="28"/>
          <w:szCs w:val="28"/>
        </w:rPr>
        <w:t xml:space="preserve">, grazie alla collaborazione con </w:t>
      </w:r>
      <w:proofErr w:type="spellStart"/>
      <w:r w:rsidRPr="00063F73">
        <w:rPr>
          <w:rStyle w:val="Enfasigrassetto"/>
          <w:sz w:val="28"/>
          <w:szCs w:val="28"/>
        </w:rPr>
        <w:t>INCinema</w:t>
      </w:r>
      <w:proofErr w:type="spellEnd"/>
      <w:r w:rsidRPr="00063F73">
        <w:rPr>
          <w:rStyle w:val="Enfasigrassetto"/>
          <w:sz w:val="28"/>
          <w:szCs w:val="28"/>
        </w:rPr>
        <w:t xml:space="preserve"> – </w:t>
      </w:r>
      <w:proofErr w:type="spellStart"/>
      <w:r w:rsidRPr="00063F73">
        <w:rPr>
          <w:rStyle w:val="Enfasigrassetto"/>
          <w:sz w:val="28"/>
          <w:szCs w:val="28"/>
        </w:rPr>
        <w:t>Outside</w:t>
      </w:r>
      <w:proofErr w:type="spellEnd"/>
      <w:r w:rsidRPr="00063F73">
        <w:rPr>
          <w:rStyle w:val="Enfasigrassetto"/>
          <w:sz w:val="28"/>
          <w:szCs w:val="28"/>
        </w:rPr>
        <w:t xml:space="preserve"> che </w:t>
      </w:r>
      <w:r w:rsidRPr="00063F73">
        <w:rPr>
          <w:sz w:val="28"/>
          <w:szCs w:val="28"/>
        </w:rPr>
        <w:t>port</w:t>
      </w:r>
      <w:r w:rsidRPr="00063F73">
        <w:rPr>
          <w:sz w:val="28"/>
          <w:szCs w:val="28"/>
        </w:rPr>
        <w:t>a</w:t>
      </w:r>
      <w:r w:rsidRPr="00063F73">
        <w:rPr>
          <w:sz w:val="28"/>
          <w:szCs w:val="28"/>
        </w:rPr>
        <w:t xml:space="preserve"> sul </w:t>
      </w:r>
      <w:r w:rsidRPr="00063F73">
        <w:rPr>
          <w:sz w:val="28"/>
          <w:szCs w:val="28"/>
        </w:rPr>
        <w:t xml:space="preserve">grande schermo </w:t>
      </w:r>
      <w:r w:rsidRPr="00063F73">
        <w:rPr>
          <w:sz w:val="28"/>
          <w:szCs w:val="28"/>
        </w:rPr>
        <w:t xml:space="preserve">di Aquileia due grandi classici della storia del cinema, </w:t>
      </w:r>
      <w:r w:rsidRPr="00063F73">
        <w:rPr>
          <w:rStyle w:val="Enfasicorsivo"/>
          <w:sz w:val="28"/>
          <w:szCs w:val="28"/>
        </w:rPr>
        <w:t>Rear Window</w:t>
      </w:r>
      <w:r w:rsidRPr="00063F73">
        <w:rPr>
          <w:rFonts w:ascii="Roboto Slab" w:eastAsiaTheme="minorHAnsi" w:hAnsi="Roboto Slab" w:cs="Roboto Slab"/>
          <w:b/>
          <w:bCs/>
          <w:color w:val="000000"/>
          <w:kern w:val="2"/>
          <w:sz w:val="28"/>
          <w:szCs w:val="28"/>
          <w:shd w:val="clear" w:color="auto" w:fill="EFECE8"/>
          <w:lang w:eastAsia="en-US"/>
          <w14:ligatures w14:val="standardContextual"/>
        </w:rPr>
        <w:t xml:space="preserve"> </w:t>
      </w:r>
      <w:r w:rsidRPr="00063F73">
        <w:rPr>
          <w:b/>
          <w:bCs/>
          <w:i/>
          <w:iCs/>
          <w:sz w:val="28"/>
          <w:szCs w:val="28"/>
        </w:rPr>
        <w:t>(La finestra sul cortile)</w:t>
      </w:r>
      <w:r w:rsidRPr="00063F73">
        <w:rPr>
          <w:sz w:val="28"/>
          <w:szCs w:val="28"/>
        </w:rPr>
        <w:t xml:space="preserve"> di Alfred Hitchcock e </w:t>
      </w:r>
      <w:r w:rsidRPr="00063F73">
        <w:rPr>
          <w:rStyle w:val="Enfasicorsivo"/>
          <w:sz w:val="28"/>
          <w:szCs w:val="28"/>
        </w:rPr>
        <w:t xml:space="preserve">The Seven </w:t>
      </w:r>
      <w:proofErr w:type="spellStart"/>
      <w:r w:rsidRPr="00063F73">
        <w:rPr>
          <w:rStyle w:val="Enfasicorsivo"/>
          <w:sz w:val="28"/>
          <w:szCs w:val="28"/>
        </w:rPr>
        <w:t>Year</w:t>
      </w:r>
      <w:proofErr w:type="spellEnd"/>
      <w:r w:rsidRPr="00063F73">
        <w:rPr>
          <w:rStyle w:val="Enfasicorsivo"/>
          <w:sz w:val="28"/>
          <w:szCs w:val="28"/>
        </w:rPr>
        <w:t xml:space="preserve"> </w:t>
      </w:r>
      <w:proofErr w:type="spellStart"/>
      <w:r w:rsidRPr="00063F73">
        <w:rPr>
          <w:rStyle w:val="Enfasicorsivo"/>
          <w:sz w:val="28"/>
          <w:szCs w:val="28"/>
        </w:rPr>
        <w:t>Itch</w:t>
      </w:r>
      <w:proofErr w:type="spellEnd"/>
      <w:r w:rsidRPr="00063F73">
        <w:rPr>
          <w:sz w:val="28"/>
          <w:szCs w:val="28"/>
        </w:rPr>
        <w:t xml:space="preserve"> </w:t>
      </w:r>
      <w:r w:rsidRPr="00063F73">
        <w:rPr>
          <w:b/>
          <w:bCs/>
          <w:sz w:val="28"/>
          <w:szCs w:val="28"/>
        </w:rPr>
        <w:t xml:space="preserve">(Quando la moglie è in vacanza) </w:t>
      </w:r>
      <w:r w:rsidRPr="00063F73">
        <w:rPr>
          <w:sz w:val="28"/>
          <w:szCs w:val="28"/>
        </w:rPr>
        <w:t>di Billy Wilder, in versioni in lingua originale con sottotitoli in italiano e completamente accessibili, a ingresso libero.</w:t>
      </w:r>
    </w:p>
    <w:p w14:paraId="35295C02" w14:textId="741D6D30" w:rsidR="00063F73" w:rsidRPr="00063F73" w:rsidRDefault="00196ED2" w:rsidP="00063F73">
      <w:pPr>
        <w:pStyle w:val="isselectedend"/>
        <w:rPr>
          <w:sz w:val="28"/>
          <w:szCs w:val="28"/>
        </w:rPr>
      </w:pPr>
      <w:r w:rsidRPr="00063F73">
        <w:rPr>
          <w:sz w:val="28"/>
          <w:szCs w:val="28"/>
        </w:rPr>
        <w:t xml:space="preserve">Lunedì l’Aquileia Film Festival prosegue con la </w:t>
      </w:r>
      <w:r w:rsidRPr="00063F73">
        <w:rPr>
          <w:sz w:val="28"/>
          <w:szCs w:val="28"/>
        </w:rPr>
        <w:t xml:space="preserve">proiezione </w:t>
      </w:r>
      <w:r w:rsidR="00063F73" w:rsidRPr="00063F73">
        <w:rPr>
          <w:sz w:val="28"/>
          <w:szCs w:val="28"/>
        </w:rPr>
        <w:t xml:space="preserve">fuori concorso </w:t>
      </w:r>
      <w:r w:rsidRPr="00063F73">
        <w:rPr>
          <w:sz w:val="28"/>
          <w:szCs w:val="28"/>
        </w:rPr>
        <w:t xml:space="preserve">del documentario </w:t>
      </w:r>
      <w:r w:rsidRPr="00063F73">
        <w:rPr>
          <w:rStyle w:val="Enfasicorsivo"/>
          <w:b/>
          <w:bCs/>
          <w:sz w:val="28"/>
          <w:szCs w:val="28"/>
        </w:rPr>
        <w:t>Aquileia e i cristianesimi perduti</w:t>
      </w:r>
      <w:r w:rsidRPr="00063F73">
        <w:rPr>
          <w:rStyle w:val="Enfasicorsivo"/>
          <w:sz w:val="28"/>
          <w:szCs w:val="28"/>
        </w:rPr>
        <w:t xml:space="preserve"> </w:t>
      </w:r>
      <w:r w:rsidRPr="00063F73">
        <w:rPr>
          <w:rStyle w:val="Enfasicorsivo"/>
          <w:i w:val="0"/>
          <w:iCs w:val="0"/>
          <w:sz w:val="28"/>
          <w:szCs w:val="28"/>
        </w:rPr>
        <w:t>di Massimo Garlatti Costa</w:t>
      </w:r>
      <w:r w:rsidRPr="00063F73">
        <w:rPr>
          <w:sz w:val="28"/>
          <w:szCs w:val="28"/>
        </w:rPr>
        <w:t xml:space="preserve"> (</w:t>
      </w:r>
      <w:r w:rsidRPr="00063F73">
        <w:rPr>
          <w:b/>
          <w:bCs/>
          <w:sz w:val="28"/>
          <w:szCs w:val="28"/>
        </w:rPr>
        <w:t>lunedì 3 agosto</w:t>
      </w:r>
      <w:r w:rsidRPr="00063F73">
        <w:rPr>
          <w:sz w:val="28"/>
          <w:szCs w:val="28"/>
        </w:rPr>
        <w:t>)</w:t>
      </w:r>
      <w:r w:rsidRPr="00063F73">
        <w:rPr>
          <w:sz w:val="28"/>
          <w:szCs w:val="28"/>
        </w:rPr>
        <w:t xml:space="preserve"> </w:t>
      </w:r>
      <w:r w:rsidR="00063F73" w:rsidRPr="00063F73">
        <w:rPr>
          <w:sz w:val="28"/>
          <w:szCs w:val="28"/>
        </w:rPr>
        <w:t xml:space="preserve">e martedì 4 agosto con </w:t>
      </w:r>
      <w:r w:rsidR="00063F73" w:rsidRPr="00063F73">
        <w:rPr>
          <w:sz w:val="28"/>
          <w:szCs w:val="28"/>
        </w:rPr>
        <w:t xml:space="preserve">il documentario </w:t>
      </w:r>
      <w:r w:rsidR="00063F73" w:rsidRPr="00063F73">
        <w:rPr>
          <w:rStyle w:val="Enfasicorsivo"/>
          <w:b/>
          <w:bCs/>
          <w:sz w:val="28"/>
          <w:szCs w:val="28"/>
        </w:rPr>
        <w:t>Quello che resta</w:t>
      </w:r>
      <w:r w:rsidR="00063F73" w:rsidRPr="00063F73">
        <w:rPr>
          <w:rStyle w:val="Enfasicorsivo"/>
          <w:sz w:val="28"/>
          <w:szCs w:val="28"/>
        </w:rPr>
        <w:t xml:space="preserve"> </w:t>
      </w:r>
      <w:r w:rsidR="00063F73" w:rsidRPr="00063F73">
        <w:rPr>
          <w:rStyle w:val="Enfasicorsivo"/>
          <w:i w:val="0"/>
          <w:iCs w:val="0"/>
          <w:sz w:val="28"/>
          <w:szCs w:val="28"/>
        </w:rPr>
        <w:t>di Marco D’Agostini</w:t>
      </w:r>
      <w:r w:rsidR="00063F73" w:rsidRPr="00063F73">
        <w:rPr>
          <w:i/>
          <w:iCs/>
          <w:sz w:val="28"/>
          <w:szCs w:val="28"/>
        </w:rPr>
        <w:t>,</w:t>
      </w:r>
      <w:r w:rsidR="00063F73" w:rsidRPr="00063F73">
        <w:rPr>
          <w:sz w:val="28"/>
          <w:szCs w:val="28"/>
        </w:rPr>
        <w:t xml:space="preserve"> dedicato alle ritualità ancora vive del Friuli Venezia Giulia</w:t>
      </w:r>
      <w:r w:rsidR="00063F73" w:rsidRPr="00063F73">
        <w:rPr>
          <w:sz w:val="28"/>
          <w:szCs w:val="28"/>
        </w:rPr>
        <w:t xml:space="preserve"> e l’intervista </w:t>
      </w:r>
      <w:r w:rsidR="00063F73" w:rsidRPr="00063F73">
        <w:rPr>
          <w:sz w:val="28"/>
          <w:szCs w:val="28"/>
        </w:rPr>
        <w:lastRenderedPageBreak/>
        <w:t xml:space="preserve">di </w:t>
      </w:r>
      <w:r w:rsidR="00063F73" w:rsidRPr="00063F73">
        <w:rPr>
          <w:b/>
          <w:bCs/>
          <w:sz w:val="28"/>
          <w:szCs w:val="28"/>
        </w:rPr>
        <w:t>Paolo Mosanghini</w:t>
      </w:r>
      <w:r w:rsidR="00063F73" w:rsidRPr="00063F73">
        <w:rPr>
          <w:sz w:val="28"/>
          <w:szCs w:val="28"/>
        </w:rPr>
        <w:t xml:space="preserve">, </w:t>
      </w:r>
      <w:r w:rsidR="00063F73" w:rsidRPr="00063F73">
        <w:rPr>
          <w:b/>
          <w:bCs/>
          <w:sz w:val="28"/>
          <w:szCs w:val="28"/>
        </w:rPr>
        <w:t>giornalista e condirettore del Messaggero Veneto</w:t>
      </w:r>
      <w:r w:rsidR="00063F73" w:rsidRPr="00063F73">
        <w:rPr>
          <w:sz w:val="28"/>
          <w:szCs w:val="28"/>
        </w:rPr>
        <w:t xml:space="preserve"> </w:t>
      </w:r>
      <w:r w:rsidR="00063F73" w:rsidRPr="00063F73">
        <w:rPr>
          <w:sz w:val="28"/>
          <w:szCs w:val="28"/>
        </w:rPr>
        <w:t>a</w:t>
      </w:r>
      <w:r w:rsidR="00063F73" w:rsidRPr="00063F73">
        <w:rPr>
          <w:sz w:val="28"/>
          <w:szCs w:val="28"/>
        </w:rPr>
        <w:t xml:space="preserve"> </w:t>
      </w:r>
      <w:r w:rsidR="00063F73" w:rsidRPr="00063F73">
        <w:rPr>
          <w:b/>
          <w:bCs/>
          <w:sz w:val="28"/>
          <w:szCs w:val="28"/>
        </w:rPr>
        <w:t>Elena Commessatti</w:t>
      </w:r>
      <w:r w:rsidR="00063F73" w:rsidRPr="00063F73">
        <w:rPr>
          <w:sz w:val="28"/>
          <w:szCs w:val="28"/>
        </w:rPr>
        <w:t xml:space="preserve"> autrice </w:t>
      </w:r>
      <w:r w:rsidR="00063F73" w:rsidRPr="00063F73">
        <w:rPr>
          <w:sz w:val="28"/>
          <w:szCs w:val="28"/>
        </w:rPr>
        <w:t>di “Aquileia, una guida” edito da Odos, che presenterà il suo</w:t>
      </w:r>
      <w:r w:rsidR="00063F73" w:rsidRPr="00063F73">
        <w:rPr>
          <w:sz w:val="28"/>
          <w:szCs w:val="28"/>
        </w:rPr>
        <w:t xml:space="preserve"> romanzo </w:t>
      </w:r>
      <w:r w:rsidR="00063F73" w:rsidRPr="00063F73">
        <w:rPr>
          <w:b/>
          <w:bCs/>
          <w:sz w:val="28"/>
          <w:szCs w:val="28"/>
        </w:rPr>
        <w:t>“Il tempo delle viole”</w:t>
      </w:r>
      <w:r w:rsidR="00063F73" w:rsidRPr="00063F73">
        <w:rPr>
          <w:sz w:val="28"/>
          <w:szCs w:val="28"/>
        </w:rPr>
        <w:t xml:space="preserve"> edito da Newton Compton in cui narra le vite di tre ragazze che si intrecciano in un’Italia che si affaccia al nuovo secolo tra modernità e tradizione, tra la fatica del lavoro e il desiderio di emancipazione. </w:t>
      </w:r>
    </w:p>
    <w:p w14:paraId="12931B17" w14:textId="0EBB9305" w:rsidR="00196ED2" w:rsidRPr="00063F73" w:rsidRDefault="00196ED2" w:rsidP="00196ED2">
      <w:pPr>
        <w:pStyle w:val="isselectedend"/>
        <w:rPr>
          <w:sz w:val="28"/>
          <w:szCs w:val="28"/>
        </w:rPr>
      </w:pPr>
    </w:p>
    <w:p w14:paraId="41BDDEBA" w14:textId="13C1E9FA" w:rsidR="00196ED2" w:rsidRPr="00063F73" w:rsidRDefault="00196ED2" w:rsidP="00196ED2">
      <w:pPr>
        <w:pStyle w:val="isselectedend"/>
        <w:rPr>
          <w:b/>
          <w:bCs/>
          <w:sz w:val="28"/>
          <w:szCs w:val="28"/>
        </w:rPr>
      </w:pPr>
    </w:p>
    <w:sectPr w:rsidR="00196ED2" w:rsidRPr="00063F7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D42E" w14:textId="77777777" w:rsidR="009957EF" w:rsidRDefault="009957EF" w:rsidP="00DC1FE9">
      <w:pPr>
        <w:spacing w:after="0" w:line="240" w:lineRule="auto"/>
      </w:pPr>
      <w:r>
        <w:separator/>
      </w:r>
    </w:p>
  </w:endnote>
  <w:endnote w:type="continuationSeparator" w:id="0">
    <w:p w14:paraId="4B2D39F9" w14:textId="77777777" w:rsidR="009957EF" w:rsidRDefault="009957EF" w:rsidP="00DC1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Slab">
    <w:charset w:val="00"/>
    <w:family w:val="auto"/>
    <w:pitch w:val="variable"/>
    <w:sig w:usb0="000004FF" w:usb1="8000405F" w:usb2="00000022"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4DDE" w14:textId="77777777" w:rsidR="009957EF" w:rsidRDefault="009957EF" w:rsidP="00DC1FE9">
      <w:pPr>
        <w:spacing w:after="0" w:line="240" w:lineRule="auto"/>
      </w:pPr>
      <w:r>
        <w:separator/>
      </w:r>
    </w:p>
  </w:footnote>
  <w:footnote w:type="continuationSeparator" w:id="0">
    <w:p w14:paraId="51A8EB2F" w14:textId="77777777" w:rsidR="009957EF" w:rsidRDefault="009957EF" w:rsidP="00DC1F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D2"/>
    <w:rsid w:val="00063F73"/>
    <w:rsid w:val="00196ED2"/>
    <w:rsid w:val="009957EF"/>
    <w:rsid w:val="00D66976"/>
    <w:rsid w:val="00DC1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8AB8"/>
  <w15:chartTrackingRefBased/>
  <w15:docId w15:val="{4BBE94A7-BD4E-4516-A475-8DC4F7B6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96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96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96ED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96ED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96ED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96ED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96ED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96ED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96ED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6ED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96ED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96ED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96ED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96ED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96ED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6ED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6ED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6ED2"/>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6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96ED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6ED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96ED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6ED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96ED2"/>
    <w:rPr>
      <w:i/>
      <w:iCs/>
      <w:color w:val="404040" w:themeColor="text1" w:themeTint="BF"/>
    </w:rPr>
  </w:style>
  <w:style w:type="paragraph" w:styleId="Paragrafoelenco">
    <w:name w:val="List Paragraph"/>
    <w:basedOn w:val="Normale"/>
    <w:uiPriority w:val="34"/>
    <w:qFormat/>
    <w:rsid w:val="00196ED2"/>
    <w:pPr>
      <w:ind w:left="720"/>
      <w:contextualSpacing/>
    </w:pPr>
  </w:style>
  <w:style w:type="character" w:styleId="Enfasiintensa">
    <w:name w:val="Intense Emphasis"/>
    <w:basedOn w:val="Carpredefinitoparagrafo"/>
    <w:uiPriority w:val="21"/>
    <w:qFormat/>
    <w:rsid w:val="00196ED2"/>
    <w:rPr>
      <w:i/>
      <w:iCs/>
      <w:color w:val="0F4761" w:themeColor="accent1" w:themeShade="BF"/>
    </w:rPr>
  </w:style>
  <w:style w:type="paragraph" w:styleId="Citazioneintensa">
    <w:name w:val="Intense Quote"/>
    <w:basedOn w:val="Normale"/>
    <w:next w:val="Normale"/>
    <w:link w:val="CitazioneintensaCarattere"/>
    <w:uiPriority w:val="30"/>
    <w:qFormat/>
    <w:rsid w:val="00196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96ED2"/>
    <w:rPr>
      <w:i/>
      <w:iCs/>
      <w:color w:val="0F4761" w:themeColor="accent1" w:themeShade="BF"/>
    </w:rPr>
  </w:style>
  <w:style w:type="character" w:styleId="Riferimentointenso">
    <w:name w:val="Intense Reference"/>
    <w:basedOn w:val="Carpredefinitoparagrafo"/>
    <w:uiPriority w:val="32"/>
    <w:qFormat/>
    <w:rsid w:val="00196ED2"/>
    <w:rPr>
      <w:b/>
      <w:bCs/>
      <w:smallCaps/>
      <w:color w:val="0F4761" w:themeColor="accent1" w:themeShade="BF"/>
      <w:spacing w:val="5"/>
    </w:rPr>
  </w:style>
  <w:style w:type="paragraph" w:customStyle="1" w:styleId="isselectedend">
    <w:name w:val="isselectedend"/>
    <w:basedOn w:val="Normale"/>
    <w:rsid w:val="00196ED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196ED2"/>
    <w:rPr>
      <w:b/>
      <w:bCs/>
    </w:rPr>
  </w:style>
  <w:style w:type="character" w:styleId="Enfasicorsivo">
    <w:name w:val="Emphasis"/>
    <w:basedOn w:val="Carpredefinitoparagrafo"/>
    <w:uiPriority w:val="20"/>
    <w:qFormat/>
    <w:rsid w:val="00196ED2"/>
    <w:rPr>
      <w:i/>
      <w:iCs/>
    </w:rPr>
  </w:style>
  <w:style w:type="paragraph" w:styleId="Intestazione">
    <w:name w:val="header"/>
    <w:basedOn w:val="Normale"/>
    <w:link w:val="IntestazioneCarattere"/>
    <w:uiPriority w:val="99"/>
    <w:unhideWhenUsed/>
    <w:rsid w:val="00DC1F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1FE9"/>
  </w:style>
  <w:style w:type="paragraph" w:styleId="Pidipagina">
    <w:name w:val="footer"/>
    <w:basedOn w:val="Normale"/>
    <w:link w:val="PidipaginaCarattere"/>
    <w:uiPriority w:val="99"/>
    <w:unhideWhenUsed/>
    <w:rsid w:val="00DC1F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1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 FA</dc:creator>
  <cp:keywords/>
  <dc:description/>
  <cp:lastModifiedBy>FA FA</cp:lastModifiedBy>
  <cp:revision>1</cp:revision>
  <dcterms:created xsi:type="dcterms:W3CDTF">2026-08-01T08:23:00Z</dcterms:created>
  <dcterms:modified xsi:type="dcterms:W3CDTF">2026-08-01T08:48:00Z</dcterms:modified>
</cp:coreProperties>
</file>